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36"/>
          <w:szCs w:val="36"/>
        </w:rPr>
        <w:t>Instructions</w:t>
      </w:r>
      <w:r>
        <w:rPr>
          <w:b/>
          <w:bCs/>
        </w:rPr>
        <w:t xml:space="preserve"> </w:t>
      </w:r>
    </w:p>
    <w:p>
      <w:pPr>
        <w:pStyle w:val="Normal"/>
        <w:jc w:val="center"/>
        <w:rPr>
          <w:b/>
          <w:b/>
          <w:bCs/>
          <w:i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for converting Florida for-profit corporation</w:t>
      </w:r>
    </w:p>
    <w:p>
      <w:pPr>
        <w:pStyle w:val="Normal"/>
        <w:jc w:val="center"/>
        <w:rPr>
          <w:b/>
          <w:b/>
          <w:bCs/>
          <w:i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into a Florida limited liability company (LLC)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Who should Use These Documents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3"/>
        </w:numPr>
        <w:rPr/>
      </w:pPr>
      <w:r>
        <w:rPr/>
        <w:t xml:space="preserve">Often an individual sole proprietor, without the advice of a lawyer, will go to the the Florida Department of State's "sunbiz" website and fill out an on-line form to create "articles of incorporation" to create a new for-profit corporation paying the fee with a credit card.  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3"/>
        </w:numPr>
        <w:rPr/>
      </w:pPr>
      <w:r>
        <w:rPr/>
        <w:t xml:space="preserve">Typically such persons will never complete the initial organization of the corporation by taking the required steps of appointing directors, having an initial directors meeting, issuing stock, appointing officers, creating a minute book, etc.  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3"/>
        </w:numPr>
        <w:rPr/>
      </w:pPr>
      <w:r>
        <w:rPr/>
        <w:t xml:space="preserve">Essentially this type of corporation ends up being managed and operated as if it were a single member LLC.  As a result, little in the way of liability protection is provided by such entities when challenged by a determined creditor seeking the "pierce the corporate veil" through the courts.  Such persons would have been much better off if they had initially incorporated an LLC rather than a corporation.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Summary of Conversion Steps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1"/>
        </w:numPr>
        <w:rPr/>
      </w:pPr>
      <w:r>
        <w:rPr/>
        <w:t>The corporation's board of directors must first adopt a "Plan of Conversions"</w:t>
      </w:r>
    </w:p>
    <w:p>
      <w:pPr>
        <w:pStyle w:val="Normal"/>
        <w:numPr>
          <w:ilvl w:val="0"/>
          <w:numId w:val="1"/>
        </w:numPr>
        <w:rPr/>
      </w:pPr>
      <w:r>
        <w:rPr/>
        <w:t>The corporation must then file "Articles of Conversion" with LLC "Articles of Organization" attached.</w:t>
      </w:r>
      <w:r>
        <w:rPr/>
        <w:t xml:space="preserve">   A form "cover letter" should be included with the mailing (providing the State with basic contact information)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Documents and Instructions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2"/>
        </w:numPr>
        <w:rPr/>
      </w:pPr>
      <w:r>
        <w:rPr/>
        <w:t>"</w:t>
      </w:r>
      <w:r>
        <w:rPr>
          <w:b/>
          <w:bCs/>
        </w:rPr>
        <w:t>Plan of Conversion"</w:t>
      </w:r>
    </w:p>
    <w:p>
      <w:pPr>
        <w:pStyle w:val="Normal"/>
        <w:rPr/>
      </w:pPr>
      <w:r>
        <w:rPr/>
      </w:r>
    </w:p>
    <w:p>
      <w:pPr>
        <w:pStyle w:val="Normal"/>
        <w:numPr>
          <w:ilvl w:val="1"/>
          <w:numId w:val="2"/>
        </w:numPr>
        <w:rPr/>
      </w:pPr>
      <w:r>
        <w:rPr/>
        <w:t>this document is suitable for a Corporation intended to have a single stockholder but where the stock has never actually been issued (meaning that it is controlled by the initial "incorporator"</w:t>
      </w:r>
    </w:p>
    <w:p>
      <w:pPr>
        <w:pStyle w:val="Normal"/>
        <w:rPr/>
      </w:pPr>
      <w:r>
        <w:rPr/>
      </w:r>
    </w:p>
    <w:p>
      <w:pPr>
        <w:pStyle w:val="Normal"/>
        <w:numPr>
          <w:ilvl w:val="1"/>
          <w:numId w:val="2"/>
        </w:numPr>
        <w:rPr/>
      </w:pPr>
      <w:r>
        <w:rPr/>
        <w:t xml:space="preserve">This document can also be used (with some tweaking) if stock has actually been issued to a sole stockholder </w:t>
      </w:r>
    </w:p>
    <w:p>
      <w:pPr>
        <w:pStyle w:val="Normal"/>
        <w:rPr/>
      </w:pPr>
      <w:r>
        <w:rPr/>
      </w:r>
    </w:p>
    <w:p>
      <w:pPr>
        <w:pStyle w:val="Normal"/>
        <w:numPr>
          <w:ilvl w:val="1"/>
          <w:numId w:val="2"/>
        </w:numPr>
        <w:rPr/>
      </w:pPr>
      <w:r>
        <w:rPr>
          <w:highlight w:val="yellow"/>
        </w:rPr>
        <w:t xml:space="preserve">This document is </w:t>
      </w:r>
      <w:r>
        <w:rPr>
          <w:b/>
          <w:bCs/>
          <w:highlight w:val="yellow"/>
        </w:rPr>
        <w:t>NOT</w:t>
      </w:r>
      <w:r>
        <w:rPr>
          <w:highlight w:val="yellow"/>
        </w:rPr>
        <w:t xml:space="preserve"> suitable for a corporation with multiple stockholders unless it has first been carefully edited.</w:t>
      </w: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2"/>
        </w:numPr>
        <w:rPr>
          <w:b/>
          <w:b/>
          <w:bCs/>
        </w:rPr>
      </w:pPr>
      <w:r>
        <w:rPr>
          <w:b/>
          <w:bCs/>
        </w:rPr>
        <w:t>"Articles of Conversion"</w:t>
      </w:r>
    </w:p>
    <w:p>
      <w:pPr>
        <w:pStyle w:val="Normal"/>
        <w:rPr/>
      </w:pPr>
      <w:r>
        <w:rPr/>
      </w:r>
    </w:p>
    <w:p>
      <w:pPr>
        <w:pStyle w:val="Normal"/>
        <w:numPr>
          <w:ilvl w:val="1"/>
          <w:numId w:val="2"/>
        </w:numPr>
        <w:rPr/>
      </w:pPr>
      <w:r>
        <w:rPr/>
        <w:t xml:space="preserve">Attach the </w:t>
      </w:r>
      <w:r>
        <w:rPr/>
        <w:t xml:space="preserve">"Articles of Organization" </w:t>
      </w:r>
      <w:r>
        <w:rPr/>
        <w:t>(</w:t>
      </w:r>
      <w:r>
        <w:rPr/>
        <w:t>for the resulting LLC</w:t>
      </w:r>
      <w:r>
        <w:rPr/>
        <w:t>) prior to filing with the State.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</w:rPr>
        <w:t>Chapter 605.1045 Florida Statutes</w:t>
      </w:r>
      <w:r>
        <w:rPr/>
        <w:t xml:space="preserve"> - the statute governing conversions</w:t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40" w:right="1440" w:header="663" w:top="1215" w:footer="657" w:bottom="125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Carlito">
    <w:altName w:val="Calibri"/>
    <w:charset w:val="01"/>
    <w:family w:val="swiss"/>
    <w:pitch w:val="default"/>
  </w:font>
  <w:font w:name="Arial Narrow">
    <w:charset w:val="01"/>
    <w:family w:val="swiss"/>
    <w:pitch w:val="default"/>
  </w:font>
  <w:font w:name="Arial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Courier New">
    <w:charset w:val="01"/>
    <w:family w:val="swiss"/>
    <w:pitch w:val="default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rFonts w:ascii="Liberation Sans" w:hAnsi="Liberation Sans" w:cs="Courier New"/>
        <w:sz w:val="18"/>
        <w:szCs w:val="18"/>
      </w:rPr>
    </w:pPr>
    <w:r>
      <w:rPr>
        <w:rFonts w:cs="Courier New" w:ascii="Liberation Sans" w:hAnsi="Liberation Sans"/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false"/>
      <w:overflowPunct w:val="true"/>
      <w:bidi w:val="0"/>
      <w:jc w:val="both"/>
    </w:pPr>
    <w:rPr>
      <w:rFonts w:ascii="Carlito" w:hAnsi="Carlito" w:eastAsia="DejaVu Sans" w:cs="FreeSans"/>
      <w:color w:val="00000A"/>
      <w:kern w:val="0"/>
      <w:sz w:val="22"/>
      <w:szCs w:val="24"/>
      <w:lang w:val="en-US" w:eastAsia="zh-CN" w:bidi="hi-IN"/>
    </w:rPr>
  </w:style>
  <w:style w:type="paragraph" w:styleId="Heading1">
    <w:name w:val="Heading 1"/>
    <w:basedOn w:val="Normal"/>
    <w:qFormat/>
    <w:pPr>
      <w:keepNext w:val="true"/>
      <w:keepLines/>
      <w:widowControl/>
      <w:outlineLvl w:val="0"/>
    </w:pPr>
    <w:rPr>
      <w:rFonts w:ascii="Arial Narrow" w:hAnsi="Arial Narrow" w:cs="Arial Narrow"/>
      <w:b/>
      <w:bCs/>
    </w:rPr>
  </w:style>
  <w:style w:type="paragraph" w:styleId="Heading2">
    <w:name w:val="Heading 2"/>
    <w:basedOn w:val="Normal"/>
    <w:qFormat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qFormat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qFormat/>
    <w:pPr>
      <w:spacing w:before="240" w:after="60"/>
      <w:outlineLvl w:val="5"/>
    </w:pPr>
    <w:rPr>
      <w:b/>
      <w:bCs/>
      <w:sz w:val="22"/>
      <w:szCs w:val="22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AIAHeadingRegistered">
    <w:name w:val="AIA Heading Registered"/>
    <w:qFormat/>
    <w:rPr>
      <w:rFonts w:ascii="Courier New" w:hAnsi="Courier New" w:cs="Courier New"/>
      <w:sz w:val="20"/>
      <w:szCs w:val="20"/>
      <w:vertAlign w:val="superscript"/>
    </w:rPr>
  </w:style>
  <w:style w:type="character" w:styleId="AIAHeadingTrademark">
    <w:name w:val="AIA Heading Trademark"/>
    <w:qFormat/>
    <w:rPr>
      <w:rFonts w:ascii="Courier New" w:hAnsi="Courier New" w:cs="Courier New"/>
      <w:sz w:val="20"/>
      <w:szCs w:val="20"/>
      <w:vertAlign w:val="superscript"/>
    </w:rPr>
  </w:style>
  <w:style w:type="character" w:styleId="AIAEmphasis">
    <w:name w:val="AIA Emphasis"/>
    <w:qFormat/>
    <w:rPr>
      <w:rFonts w:ascii="Arial Narrow" w:hAnsi="Arial Narrow" w:cs="Arial Narrow"/>
      <w:b/>
      <w:bCs/>
      <w:sz w:val="20"/>
      <w:szCs w:val="20"/>
    </w:rPr>
  </w:style>
  <w:style w:type="character" w:styleId="AIAFillPointText">
    <w:name w:val="AIA FillPoint Text"/>
    <w:qFormat/>
    <w:rPr>
      <w:rFonts w:ascii="Times New Roman" w:hAnsi="Times New Roman" w:cs="Times New Roman"/>
      <w:color w:val="00000A"/>
      <w:sz w:val="20"/>
      <w:szCs w:val="20"/>
      <w:highlight w:val="lightGray"/>
      <w:u w:val="none"/>
    </w:rPr>
  </w:style>
  <w:style w:type="character" w:styleId="AIAParagraphNumber">
    <w:name w:val="AIA Paragraph Number"/>
    <w:qFormat/>
    <w:rPr>
      <w:rFonts w:ascii="Arial Narrow" w:hAnsi="Arial Narrow" w:cs="Arial Narrow"/>
      <w:b/>
      <w:bCs/>
      <w:sz w:val="20"/>
      <w:szCs w:val="20"/>
    </w:rPr>
  </w:style>
  <w:style w:type="character" w:styleId="DefaultParagraphFont">
    <w:name w:val="Default Paragraph Font"/>
    <w:qFormat/>
    <w:rPr/>
  </w:style>
  <w:style w:type="character" w:styleId="AIACheckbox">
    <w:name w:val="AIA Checkbox"/>
    <w:basedOn w:val="DefaultParagraphFont"/>
    <w:qFormat/>
    <w:rPr>
      <w:rFonts w:ascii="Arial" w:hAnsi="Arial" w:cs="Arial"/>
      <w:sz w:val="20"/>
      <w:szCs w:val="20"/>
    </w:rPr>
  </w:style>
  <w:style w:type="character" w:styleId="AIAFillPointCheckbox">
    <w:name w:val="AIA FillPoint Checkbox"/>
    <w:basedOn w:val="DefaultParagraphFont"/>
    <w:qFormat/>
    <w:rPr>
      <w:rFonts w:ascii="Arial Narrow" w:hAnsi="Arial Narrow" w:cs="Arial Narrow"/>
      <w:b/>
      <w:bCs/>
      <w:caps/>
      <w:sz w:val="22"/>
      <w:szCs w:val="22"/>
      <w:highlight w:val="lightGray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eastAsia="Calibri" w:cs="Times New Roman"/>
    </w:rPr>
  </w:style>
  <w:style w:type="character" w:styleId="AIAIndexBoldChar2">
    <w:name w:val="AIA Index Bold Char2"/>
    <w:qFormat/>
    <w:rPr>
      <w:rFonts w:cs="Times New Roman"/>
      <w:b/>
      <w:bCs/>
    </w:rPr>
  </w:style>
  <w:style w:type="character" w:styleId="ListLabel2">
    <w:name w:val="ListLabel 2"/>
    <w:qFormat/>
    <w:rPr>
      <w:sz w:val="20"/>
    </w:rPr>
  </w:style>
  <w:style w:type="character" w:styleId="DeltaViewInsertion">
    <w:name w:val="DeltaView Insertion"/>
    <w:qFormat/>
    <w:rPr>
      <w:color w:val="0000FF"/>
      <w:spacing w:val="0"/>
      <w:u w:val="double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  <w:b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character" w:styleId="ListLabel64">
    <w:name w:val="ListLabel 64"/>
    <w:qFormat/>
    <w:rPr>
      <w:rFonts w:cs="OpenSymbol"/>
      <w:b/>
    </w:rPr>
  </w:style>
  <w:style w:type="character" w:styleId="ListLabel65">
    <w:name w:val="ListLabel 65"/>
    <w:qFormat/>
    <w:rPr>
      <w:rFonts w:cs="OpenSymbol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OpenSymbol"/>
    </w:rPr>
  </w:style>
  <w:style w:type="character" w:styleId="ListLabel68">
    <w:name w:val="ListLabel 68"/>
    <w:qFormat/>
    <w:rPr>
      <w:rFonts w:cs="OpenSymbol"/>
    </w:rPr>
  </w:style>
  <w:style w:type="character" w:styleId="ListLabel69">
    <w:name w:val="ListLabel 69"/>
    <w:qFormat/>
    <w:rPr>
      <w:rFonts w:cs="OpenSymbol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cs="OpenSymbol"/>
    </w:rPr>
  </w:style>
  <w:style w:type="character" w:styleId="ListLabel74">
    <w:name w:val="ListLabel 74"/>
    <w:qFormat/>
    <w:rPr>
      <w:rFonts w:cs="OpenSymbol"/>
    </w:rPr>
  </w:style>
  <w:style w:type="character" w:styleId="ListLabel75">
    <w:name w:val="ListLabel 75"/>
    <w:qFormat/>
    <w:rPr>
      <w:rFonts w:cs="OpenSymbol"/>
    </w:rPr>
  </w:style>
  <w:style w:type="character" w:styleId="ListLabel76">
    <w:name w:val="ListLabel 76"/>
    <w:qFormat/>
    <w:rPr>
      <w:rFonts w:cs="OpenSymbol"/>
    </w:rPr>
  </w:style>
  <w:style w:type="character" w:styleId="ListLabel77">
    <w:name w:val="ListLabel 77"/>
    <w:qFormat/>
    <w:rPr>
      <w:rFonts w:cs="OpenSymbol"/>
    </w:rPr>
  </w:style>
  <w:style w:type="character" w:styleId="ListLabel78">
    <w:name w:val="ListLabel 78"/>
    <w:qFormat/>
    <w:rPr>
      <w:rFonts w:cs="OpenSymbol"/>
    </w:rPr>
  </w:style>
  <w:style w:type="character" w:styleId="ListLabel79">
    <w:name w:val="ListLabel 79"/>
    <w:qFormat/>
    <w:rPr>
      <w:rFonts w:cs="OpenSymbol"/>
    </w:rPr>
  </w:style>
  <w:style w:type="character" w:styleId="ListLabel80">
    <w:name w:val="ListLabel 80"/>
    <w:qFormat/>
    <w:rPr>
      <w:rFonts w:cs="OpenSymbol"/>
    </w:rPr>
  </w:style>
  <w:style w:type="character" w:styleId="ListLabel81">
    <w:name w:val="ListLabel 81"/>
    <w:qFormat/>
    <w:rPr>
      <w:rFonts w:cs="OpenSymbol"/>
    </w:rPr>
  </w:style>
  <w:style w:type="character" w:styleId="ListLabel82">
    <w:name w:val="ListLabel 82"/>
    <w:qFormat/>
    <w:rPr>
      <w:rFonts w:cs="OpenSymbol"/>
    </w:rPr>
  </w:style>
  <w:style w:type="character" w:styleId="ListLabel83">
    <w:name w:val="ListLabel 83"/>
    <w:qFormat/>
    <w:rPr>
      <w:rFonts w:cs="OpenSymbol"/>
    </w:rPr>
  </w:style>
  <w:style w:type="character" w:styleId="ListLabel84">
    <w:name w:val="ListLabel 84"/>
    <w:qFormat/>
    <w:rPr>
      <w:rFonts w:cs="OpenSymbol"/>
    </w:rPr>
  </w:style>
  <w:style w:type="character" w:styleId="ListLabel85">
    <w:name w:val="ListLabel 85"/>
    <w:qFormat/>
    <w:rPr>
      <w:rFonts w:cs="OpenSymbol"/>
    </w:rPr>
  </w:style>
  <w:style w:type="character" w:styleId="ListLabel86">
    <w:name w:val="ListLabel 86"/>
    <w:qFormat/>
    <w:rPr>
      <w:rFonts w:cs="OpenSymbol"/>
    </w:rPr>
  </w:style>
  <w:style w:type="character" w:styleId="ListLabel87">
    <w:name w:val="ListLabel 87"/>
    <w:qFormat/>
    <w:rPr>
      <w:rFonts w:cs="OpenSymbol"/>
    </w:rPr>
  </w:style>
  <w:style w:type="character" w:styleId="ListLabel88">
    <w:name w:val="ListLabel 88"/>
    <w:qFormat/>
    <w:rPr>
      <w:rFonts w:cs="OpenSymbol"/>
    </w:rPr>
  </w:style>
  <w:style w:type="character" w:styleId="ListLabel89">
    <w:name w:val="ListLabel 89"/>
    <w:qFormat/>
    <w:rPr>
      <w:rFonts w:cs="OpenSymbol"/>
    </w:rPr>
  </w:style>
  <w:style w:type="character" w:styleId="ListLabel90">
    <w:name w:val="ListLabel 90"/>
    <w:qFormat/>
    <w:rPr>
      <w:rFonts w:cs="OpenSymbol"/>
    </w:rPr>
  </w:style>
  <w:style w:type="character" w:styleId="ListLabel91">
    <w:name w:val="ListLabel 91"/>
    <w:qFormat/>
    <w:rPr>
      <w:rFonts w:cs="OpenSymbol"/>
      <w:b/>
    </w:rPr>
  </w:style>
  <w:style w:type="character" w:styleId="ListLabel92">
    <w:name w:val="ListLabel 92"/>
    <w:qFormat/>
    <w:rPr>
      <w:rFonts w:cs="OpenSymbol"/>
    </w:rPr>
  </w:style>
  <w:style w:type="character" w:styleId="ListLabel93">
    <w:name w:val="ListLabel 93"/>
    <w:qFormat/>
    <w:rPr>
      <w:rFonts w:cs="OpenSymbol"/>
    </w:rPr>
  </w:style>
  <w:style w:type="character" w:styleId="ListLabel94">
    <w:name w:val="ListLabel 94"/>
    <w:qFormat/>
    <w:rPr>
      <w:rFonts w:cs="OpenSymbol"/>
    </w:rPr>
  </w:style>
  <w:style w:type="character" w:styleId="ListLabel95">
    <w:name w:val="ListLabel 95"/>
    <w:qFormat/>
    <w:rPr>
      <w:rFonts w:cs="OpenSymbol"/>
    </w:rPr>
  </w:style>
  <w:style w:type="character" w:styleId="ListLabel96">
    <w:name w:val="ListLabel 96"/>
    <w:qFormat/>
    <w:rPr>
      <w:rFonts w:cs="OpenSymbol"/>
    </w:rPr>
  </w:style>
  <w:style w:type="character" w:styleId="ListLabel97">
    <w:name w:val="ListLabel 97"/>
    <w:qFormat/>
    <w:rPr>
      <w:rFonts w:cs="OpenSymbol"/>
    </w:rPr>
  </w:style>
  <w:style w:type="character" w:styleId="ListLabel98">
    <w:name w:val="ListLabel 98"/>
    <w:qFormat/>
    <w:rPr>
      <w:rFonts w:cs="OpenSymbol"/>
    </w:rPr>
  </w:style>
  <w:style w:type="character" w:styleId="ListLabel99">
    <w:name w:val="ListLabel 99"/>
    <w:qFormat/>
    <w:rPr>
      <w:rFonts w:cs="OpenSymbol"/>
    </w:rPr>
  </w:style>
  <w:style w:type="character" w:styleId="ListLabel100">
    <w:name w:val="ListLabel 100"/>
    <w:qFormat/>
    <w:rPr>
      <w:rFonts w:cs="OpenSymbol"/>
    </w:rPr>
  </w:style>
  <w:style w:type="character" w:styleId="ListLabel101">
    <w:name w:val="ListLabel 101"/>
    <w:qFormat/>
    <w:rPr>
      <w:rFonts w:cs="OpenSymbol"/>
    </w:rPr>
  </w:style>
  <w:style w:type="character" w:styleId="ListLabel102">
    <w:name w:val="ListLabel 102"/>
    <w:qFormat/>
    <w:rPr>
      <w:rFonts w:cs="OpenSymbol"/>
    </w:rPr>
  </w:style>
  <w:style w:type="character" w:styleId="ListLabel103">
    <w:name w:val="ListLabel 103"/>
    <w:qFormat/>
    <w:rPr>
      <w:rFonts w:cs="OpenSymbol"/>
    </w:rPr>
  </w:style>
  <w:style w:type="character" w:styleId="ListLabel104">
    <w:name w:val="ListLabel 104"/>
    <w:qFormat/>
    <w:rPr>
      <w:rFonts w:cs="OpenSymbol"/>
    </w:rPr>
  </w:style>
  <w:style w:type="character" w:styleId="ListLabel105">
    <w:name w:val="ListLabel 105"/>
    <w:qFormat/>
    <w:rPr>
      <w:rFonts w:cs="OpenSymbol"/>
    </w:rPr>
  </w:style>
  <w:style w:type="character" w:styleId="ListLabel106">
    <w:name w:val="ListLabel 106"/>
    <w:qFormat/>
    <w:rPr>
      <w:rFonts w:cs="OpenSymbol"/>
    </w:rPr>
  </w:style>
  <w:style w:type="character" w:styleId="ListLabel107">
    <w:name w:val="ListLabel 107"/>
    <w:qFormat/>
    <w:rPr>
      <w:rFonts w:cs="OpenSymbol"/>
    </w:rPr>
  </w:style>
  <w:style w:type="character" w:styleId="ListLabel108">
    <w:name w:val="ListLabel 108"/>
    <w:qFormat/>
    <w:rPr>
      <w:rFonts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44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Footer">
    <w:name w:val="Footer"/>
    <w:basedOn w:val="Normal"/>
    <w:pPr>
      <w:suppressLineNumbers/>
      <w:tabs>
        <w:tab w:val="center" w:pos="4986" w:leader="none"/>
        <w:tab w:val="right" w:pos="9972" w:leader="none"/>
      </w:tabs>
      <w:jc w:val="center"/>
    </w:pPr>
    <w:rPr>
      <w:sz w:val="18"/>
    </w:rPr>
  </w:style>
  <w:style w:type="paragraph" w:styleId="ListBullet4">
    <w:name w:val="List Bullet 4"/>
    <w:basedOn w:val="List"/>
    <w:qFormat/>
    <w:pPr>
      <w:spacing w:before="0" w:after="120"/>
      <w:ind w:left="14" w:right="0" w:hanging="360"/>
    </w:pPr>
    <w:rPr/>
  </w:style>
  <w:style w:type="paragraph" w:styleId="Numbering1Cont">
    <w:name w:val="Numbering 1 Cont."/>
    <w:basedOn w:val="List"/>
    <w:qFormat/>
    <w:pPr>
      <w:spacing w:before="0" w:after="120"/>
      <w:outlineLvl w:val="0"/>
    </w:pPr>
    <w:rPr/>
  </w:style>
  <w:style w:type="paragraph" w:styleId="ListParagraph">
    <w:name w:val="List Paragraph"/>
    <w:basedOn w:val="Normal"/>
    <w:qFormat/>
    <w:pPr>
      <w:widowControl/>
      <w:spacing w:lineRule="auto" w:line="276" w:before="0" w:after="200"/>
      <w:ind w:left="720" w:right="0" w:hanging="0"/>
    </w:pPr>
    <w:rPr>
      <w:rFonts w:ascii="Calibri" w:hAnsi="Calibri" w:eastAsia="Calibri"/>
      <w:sz w:val="22"/>
      <w:szCs w:val="22"/>
    </w:rPr>
  </w:style>
  <w:style w:type="paragraph" w:styleId="Style23">
    <w:name w:val="Style 23"/>
    <w:basedOn w:val="Normal"/>
    <w:qFormat/>
    <w:pPr>
      <w:widowControl/>
      <w:suppressAutoHyphens w:val="false"/>
    </w:pPr>
    <w:rPr>
      <w:sz w:val="24"/>
    </w:rPr>
  </w:style>
  <w:style w:type="paragraph" w:styleId="Style0">
    <w:name w:val="Style 0"/>
    <w:basedOn w:val="Normal"/>
    <w:qFormat/>
    <w:pPr>
      <w:widowControl/>
      <w:suppressAutoHyphens w:val="false"/>
    </w:pPr>
    <w:rPr>
      <w:sz w:val="24"/>
    </w:rPr>
  </w:style>
  <w:style w:type="paragraph" w:styleId="Header">
    <w:name w:val="Header"/>
    <w:basedOn w:val="Normal"/>
    <w:pPr>
      <w:suppressLineNumbers/>
      <w:tabs>
        <w:tab w:val="center" w:pos="4680" w:leader="none"/>
        <w:tab w:val="right" w:pos="9360" w:leader="none"/>
      </w:tabs>
    </w:pPr>
    <w:rPr/>
  </w:style>
  <w:style w:type="paragraph" w:styleId="NormalWeb">
    <w:name w:val="Normal (Web)"/>
    <w:basedOn w:val="Normal"/>
    <w:qFormat/>
    <w:pPr>
      <w:widowControl/>
      <w:spacing w:before="280" w:after="280"/>
    </w:pPr>
    <w:rPr>
      <w:sz w:val="24"/>
      <w:szCs w:val="24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extBodyIndent">
    <w:name w:val="Body Text Indent"/>
    <w:basedOn w:val="Normal"/>
    <w:pPr>
      <w:spacing w:before="0" w:after="120"/>
      <w:ind w:left="360" w:right="0" w:hanging="0"/>
    </w:pPr>
    <w:rPr/>
  </w:style>
  <w:style w:type="paragraph" w:styleId="HorizontalLine">
    <w:name w:val="Horizontal Line"/>
    <w:basedOn w:val="Normal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Title">
    <w:name w:val="Title"/>
    <w:basedOn w:val="Normal"/>
    <w:next w:val="Subtitle"/>
    <w:qFormat/>
    <w:pPr>
      <w:widowControl/>
      <w:jc w:val="center"/>
    </w:pPr>
    <w:rPr>
      <w:b/>
      <w:bCs/>
      <w:sz w:val="24"/>
      <w:szCs w:val="24"/>
    </w:rPr>
  </w:style>
  <w:style w:type="paragraph" w:styleId="Subtitle">
    <w:name w:val="Subtitle"/>
    <w:basedOn w:val="Heading"/>
    <w:qFormat/>
    <w:pPr>
      <w:jc w:val="center"/>
    </w:pPr>
    <w:rPr>
      <w:i/>
      <w:iCs/>
      <w:sz w:val="28"/>
      <w:szCs w:val="28"/>
    </w:rPr>
  </w:style>
  <w:style w:type="paragraph" w:styleId="Addressee">
    <w:name w:val="Envelope Address"/>
    <w:basedOn w:val="Normal"/>
    <w:pPr>
      <w:suppressLineNumbers/>
      <w:spacing w:before="0" w:after="60"/>
    </w:pPr>
    <w:rPr/>
  </w:style>
  <w:style w:type="paragraph" w:styleId="AIAAgreementBodyText">
    <w:name w:val="AIA Agreement Body Text"/>
    <w:qFormat/>
    <w:pPr>
      <w:widowControl/>
      <w:tabs>
        <w:tab w:val="left" w:pos="720" w:leader="none"/>
      </w:tabs>
      <w:overflowPunct w:val="true"/>
      <w:bidi w:val="0"/>
      <w:jc w:val="left"/>
    </w:pPr>
    <w:rPr>
      <w:rFonts w:ascii="Times New Roman" w:hAnsi="Times New Roman" w:eastAsia="DejaVu Sans" w:cs="FreeSans"/>
      <w:color w:val="00000A"/>
      <w:kern w:val="0"/>
      <w:sz w:val="20"/>
      <w:szCs w:val="20"/>
      <w:lang w:val="en-US" w:eastAsia="zh-CN" w:bidi="hi-IN"/>
    </w:rPr>
  </w:style>
  <w:style w:type="paragraph" w:styleId="AIAItalics">
    <w:name w:val="AIA Italics"/>
    <w:basedOn w:val="AIAAgreementBodyText"/>
    <w:qFormat/>
    <w:pPr/>
    <w:rPr>
      <w:i/>
      <w:iCs/>
    </w:rPr>
  </w:style>
  <w:style w:type="paragraph" w:styleId="AIAFillPointParagraph">
    <w:name w:val="AIA FillPoint Paragraph"/>
    <w:qFormat/>
    <w:pPr>
      <w:widowControl/>
      <w:shd w:val="clear" w:fill="C0C0C0"/>
      <w:overflowPunct w:val="true"/>
      <w:bidi w:val="0"/>
      <w:jc w:val="left"/>
    </w:pPr>
    <w:rPr>
      <w:rFonts w:ascii="Times New Roman" w:hAnsi="Times New Roman" w:eastAsia="DejaVu Sans" w:cs="FreeSans"/>
      <w:color w:val="00000A"/>
      <w:kern w:val="0"/>
      <w:sz w:val="20"/>
      <w:szCs w:val="20"/>
      <w:lang w:val="en-US" w:eastAsia="zh-CN" w:bidi="hi-IN"/>
    </w:rPr>
  </w:style>
  <w:style w:type="paragraph" w:styleId="AIATableofArticles">
    <w:name w:val="AIA Table of Articles"/>
    <w:qFormat/>
    <w:pPr>
      <w:widowControl w:val="false"/>
      <w:overflowPunct w:val="true"/>
      <w:bidi w:val="0"/>
      <w:spacing w:before="0" w:after="0"/>
      <w:ind w:left="720" w:right="0" w:hanging="720"/>
      <w:jc w:val="left"/>
    </w:pPr>
    <w:rPr>
      <w:rFonts w:ascii="Times New Roman" w:hAnsi="Times New Roman" w:eastAsia="DejaVu Sans" w:cs="FreeSans"/>
      <w:color w:val="00000A"/>
      <w:kern w:val="0"/>
      <w:sz w:val="24"/>
      <w:szCs w:val="24"/>
      <w:lang w:val="en-US" w:eastAsia="zh-CN" w:bidi="hi-IN"/>
    </w:rPr>
  </w:style>
  <w:style w:type="paragraph" w:styleId="AIABodyTextHanging">
    <w:name w:val="AIA Body Text Hanging"/>
    <w:basedOn w:val="AIAAgreementBodyText"/>
    <w:qFormat/>
    <w:pPr>
      <w:spacing w:before="0" w:after="0"/>
      <w:ind w:left="1188" w:right="0" w:hanging="468"/>
    </w:pPr>
    <w:rPr/>
  </w:style>
  <w:style w:type="paragraph" w:styleId="AIASubheading">
    <w:name w:val="AIA Subheading"/>
    <w:basedOn w:val="AIAAgreementBodyText"/>
    <w:qFormat/>
    <w:pPr>
      <w:keepNext w:val="true"/>
      <w:keepLines/>
    </w:pPr>
    <w:rPr>
      <w:rFonts w:ascii="Arial Narrow" w:hAnsi="Arial Narrow" w:cs="Arial Narrow"/>
      <w:b/>
      <w:bCs/>
    </w:rPr>
  </w:style>
  <w:style w:type="paragraph" w:styleId="AIAAgreementSubHeader1">
    <w:name w:val="AIA Agreement Sub Header 1"/>
    <w:qFormat/>
    <w:pPr>
      <w:widowControl/>
      <w:overflowPunct w:val="true"/>
      <w:bidi w:val="0"/>
      <w:spacing w:before="240" w:after="0"/>
      <w:jc w:val="left"/>
    </w:pPr>
    <w:rPr>
      <w:rFonts w:ascii="Courier New" w:hAnsi="Courier New" w:eastAsia="DejaVu Sans" w:cs="Courier New"/>
      <w:b/>
      <w:bCs/>
      <w:i/>
      <w:iCs/>
      <w:color w:val="00000A"/>
      <w:kern w:val="0"/>
      <w:sz w:val="28"/>
      <w:szCs w:val="28"/>
      <w:lang w:val="en-US" w:eastAsia="zh-CN" w:bidi="hi-IN"/>
    </w:rPr>
  </w:style>
  <w:style w:type="paragraph" w:styleId="AIABodyTextIndented">
    <w:name w:val="AIA Body Text Indented"/>
    <w:basedOn w:val="AIAAgreementBodyText"/>
    <w:qFormat/>
    <w:pPr>
      <w:spacing w:before="0" w:after="0"/>
      <w:ind w:left="720" w:right="0" w:hanging="0"/>
    </w:pPr>
    <w:rPr/>
  </w:style>
  <w:style w:type="paragraph" w:styleId="AIAFillPointParagraphRight">
    <w:name w:val="AIA FillPoint Paragraph Right"/>
    <w:qFormat/>
    <w:pPr>
      <w:widowControl w:val="false"/>
      <w:overflowPunct w:val="true"/>
      <w:bidi w:val="0"/>
      <w:jc w:val="right"/>
    </w:pPr>
    <w:rPr>
      <w:rFonts w:ascii="Times New Roman" w:hAnsi="Times New Roman" w:eastAsia="DejaVu Sans" w:cs="FreeSans"/>
      <w:color w:val="00000A"/>
      <w:kern w:val="0"/>
      <w:sz w:val="24"/>
      <w:szCs w:val="24"/>
      <w:lang w:val="en-US" w:eastAsia="zh-CN" w:bidi="hi-IN"/>
    </w:rPr>
  </w:style>
  <w:style w:type="paragraph" w:styleId="AIAItalicsHanging">
    <w:name w:val="AIA Italics Hanging"/>
    <w:basedOn w:val="AIAItalics"/>
    <w:qFormat/>
    <w:pPr>
      <w:spacing w:before="0" w:after="0"/>
      <w:ind w:left="1191" w:right="0" w:hanging="0"/>
    </w:pPr>
    <w:rPr/>
  </w:style>
  <w:style w:type="paragraph" w:styleId="AIADigitalSignature">
    <w:name w:val="AIA Digital Signature"/>
    <w:qFormat/>
    <w:pPr>
      <w:widowControl/>
      <w:overflowPunct w:val="true"/>
      <w:bidi w:val="0"/>
      <w:spacing w:before="0" w:after="60"/>
      <w:jc w:val="center"/>
    </w:pPr>
    <w:rPr>
      <w:rFonts w:ascii="Arial" w:hAnsi="Arial" w:eastAsia="DejaVu Sans" w:cs="Arial"/>
      <w:b/>
      <w:bCs/>
      <w:color w:val="00000A"/>
      <w:kern w:val="0"/>
      <w:sz w:val="20"/>
      <w:szCs w:val="20"/>
      <w:lang w:val="en-US" w:eastAsia="zh-CN" w:bidi="hi-IN"/>
    </w:rPr>
  </w:style>
  <w:style w:type="paragraph" w:styleId="AIASignatureBlock">
    <w:name w:val="AIA Signature Block"/>
    <w:basedOn w:val="AIAAgreementBodyText"/>
    <w:qFormat/>
    <w:pPr/>
    <w:rPr/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numbering" w:styleId="Numbering1">
    <w:name w:val="Numbering 1"/>
    <w:qFormat/>
  </w:style>
  <w:style w:type="numbering" w:styleId="Numbering2">
    <w:name w:val="Numbering 2"/>
    <w:qFormat/>
  </w:style>
  <w:style w:type="numbering" w:styleId="Numbering4">
    <w:name w:val="Numbering 4"/>
    <w:qFormat/>
  </w:style>
  <w:style w:type="numbering" w:styleId="NumberingABC">
    <w:name w:val="Numbering-ABC"/>
    <w:qFormat/>
  </w:style>
  <w:style w:type="numbering" w:styleId="Numbering11">
    <w:name w:val="Numbering - 1.1"/>
    <w:qFormat/>
  </w:style>
  <w:style w:type="numbering" w:styleId="Numbering1a">
    <w:name w:val="Numbering-1-a"/>
    <w:qFormat/>
  </w:style>
  <w:style w:type="numbering" w:styleId="Numbering3">
    <w:name w:val="Numbering 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john3</Template>
  <TotalTime>1619</TotalTime>
  <Application>LibreOffice/5.4.3.2$Linux_X86_64 LibreOffice_project/40m0$Build-2</Application>
  <Pages>1</Pages>
  <Words>326</Words>
  <Characters>1736</Characters>
  <CharactersWithSpaces>2044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2016-02-15T20:01:27Z</dcterms:created>
  <dc:creator>John Little</dc:creator>
  <dc:description/>
  <dc:language>en-US</dc:language>
  <cp:lastModifiedBy>John Little</cp:lastModifiedBy>
  <dcterms:modified xsi:type="dcterms:W3CDTF">2017-11-27T17:50:10Z</dcterms:modified>
  <cp:revision>114</cp:revision>
  <dc:subject/>
  <dc:title/>
</cp:coreProperties>
</file>